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51F4A7B8"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End w:id="0"/>
      <w:bookmarkEnd w:id="1"/>
      <w:bookmarkEnd w:id="2"/>
      <w:bookmarkEnd w:id="3"/>
      <w:r w:rsidR="00A873B5">
        <w:rPr>
          <w:rStyle w:val="Strong"/>
          <w:lang w:val="en-GB"/>
        </w:rPr>
        <w:t>43-G007</w:t>
      </w:r>
      <w:bookmarkStart w:id="4" w:name="_GoBack"/>
      <w:bookmarkEnd w:id="4"/>
      <w:r w:rsidR="00A873B5">
        <w:rPr>
          <w:rStyle w:val="Strong"/>
          <w:lang w:val="en-GB"/>
        </w:rPr>
        <w:t>-21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5" w:name="_Toc419901150"/>
      <w:r w:rsidRPr="00E810BA">
        <w:t>Financial viability</w:t>
      </w:r>
      <w:bookmarkEnd w:id="5"/>
    </w:p>
    <w:p w14:paraId="1C573257" w14:textId="77777777" w:rsidR="002B1E40" w:rsidRPr="00FD58EB"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w:t>
      </w:r>
      <w:r w:rsidRPr="00FD58EB">
        <w:rPr>
          <w:rFonts w:ascii="Calibri" w:hAnsi="Calibri" w:cs="Calibri"/>
          <w:sz w:val="22"/>
          <w:szCs w:val="22"/>
          <w:lang w:eastAsia="ko-KR"/>
        </w:rPr>
        <w:t>solvent and financially capable to perform the proposed services and to undertake the necessary expenditures without anticipated financial difficulties and must be able to demonstrate that it is able to do so prior to a contract award by submitting the form Availability of Financial Resources.</w:t>
      </w:r>
    </w:p>
    <w:p w14:paraId="1255A34C" w14:textId="5A337F70" w:rsidR="00F95CAD" w:rsidRPr="00DA672F" w:rsidRDefault="00F95CAD" w:rsidP="00F95CAD">
      <w:pPr>
        <w:spacing w:before="120"/>
        <w:rPr>
          <w:rFonts w:ascii="Calibri" w:hAnsi="Calibri" w:cs="Calibri"/>
          <w:sz w:val="22"/>
          <w:szCs w:val="22"/>
          <w:lang w:eastAsia="ko-KR"/>
        </w:rPr>
      </w:pPr>
      <w:r w:rsidRPr="00FD58EB">
        <w:rPr>
          <w:rFonts w:ascii="Calibri" w:hAnsi="Calibri" w:cs="Calibri"/>
          <w:sz w:val="22"/>
          <w:szCs w:val="22"/>
          <w:lang w:eastAsia="ko-KR"/>
        </w:rPr>
        <w:t>The Tenderer’s annual financial</w:t>
      </w:r>
      <w:r w:rsidRPr="00DA672F">
        <w:rPr>
          <w:rFonts w:ascii="Calibri" w:hAnsi="Calibri" w:cs="Calibri"/>
          <w:sz w:val="22"/>
          <w:szCs w:val="22"/>
          <w:lang w:eastAsia="ko-KR"/>
        </w:rPr>
        <w:t xml:space="preserve">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lastRenderedPageBreak/>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FD58EB">
        <w:rPr>
          <w:rFonts w:ascii="Calibri" w:hAnsi="Calibri" w:cs="Calibri"/>
          <w:sz w:val="22"/>
          <w:szCs w:val="22"/>
          <w:lang w:eastAsia="ko-KR"/>
        </w:rPr>
        <w:t xml:space="preserve">In accordance with its Anti-Corruption Policy (see </w:t>
      </w:r>
      <w:hyperlink r:id="rId11" w:history="1">
        <w:r w:rsidRPr="00FD58EB">
          <w:rPr>
            <w:rStyle w:val="Hyperlink"/>
            <w:rFonts w:ascii="Calibri" w:hAnsi="Calibri" w:cs="Calibri"/>
            <w:sz w:val="22"/>
            <w:szCs w:val="22"/>
            <w:lang w:eastAsia="ko-KR"/>
          </w:rPr>
          <w:t>http://www.mfed.gov.ki/our-work/central-procurement-unit</w:t>
        </w:r>
      </w:hyperlink>
      <w:r w:rsidRPr="00FD58EB">
        <w:rPr>
          <w:rFonts w:ascii="Calibri" w:hAnsi="Calibri" w:cs="Calibri"/>
          <w:sz w:val="22"/>
          <w:szCs w:val="22"/>
          <w:lang w:eastAsia="ko-KR"/>
        </w:rPr>
        <w:t xml:space="preserve">) </w:t>
      </w:r>
      <w:r w:rsidRPr="00FD58EB">
        <w:rPr>
          <w:rFonts w:ascii="Calibri" w:hAnsi="Calibri" w:cs="Calibri"/>
          <w:sz w:val="22"/>
          <w:szCs w:val="22"/>
          <w:lang w:val="en-GB" w:eastAsia="ko-KR"/>
        </w:rPr>
        <w:t>the</w:t>
      </w:r>
      <w:r w:rsidRPr="00DA672F">
        <w:rPr>
          <w:rFonts w:ascii="Calibri" w:hAnsi="Calibri" w:cs="Calibri"/>
          <w:sz w:val="22"/>
          <w:szCs w:val="22"/>
          <w:lang w:val="en-GB" w:eastAsia="ko-KR"/>
        </w:rPr>
        <w:t xml:space="preserv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B4A8F" w14:textId="77777777" w:rsidR="00E869CD" w:rsidRDefault="00E869CD">
      <w:r>
        <w:separator/>
      </w:r>
    </w:p>
  </w:endnote>
  <w:endnote w:type="continuationSeparator" w:id="0">
    <w:p w14:paraId="65659269" w14:textId="77777777" w:rsidR="00E869CD" w:rsidRDefault="00E869CD">
      <w:r>
        <w:continuationSeparator/>
      </w:r>
    </w:p>
  </w:endnote>
  <w:endnote w:type="continuationNotice" w:id="1">
    <w:p w14:paraId="3C86BDD6" w14:textId="77777777" w:rsidR="00E869CD" w:rsidRDefault="00E869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A873B5" w:rsidRPr="00A873B5">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A873B5" w:rsidRPr="00A873B5">
      <w:rPr>
        <w:noProof/>
        <w:color w:val="17365D" w:themeColor="text2" w:themeShade="BF"/>
        <w:lang w:val="sv-SE"/>
      </w:rPr>
      <w:t>4</w:t>
    </w:r>
    <w:r>
      <w:rPr>
        <w:color w:val="17365D" w:themeColor="text2" w:themeShade="BF"/>
      </w:rPr>
      <w:fldChar w:fldCharType="end"/>
    </w:r>
  </w:p>
  <w:p w14:paraId="213B5D63" w14:textId="674295B3" w:rsidR="00133D55" w:rsidRDefault="00133D55" w:rsidP="004878F3">
    <w:pPr>
      <w:pStyle w:val="Footer"/>
    </w:pPr>
    <w:r>
      <w:fldChar w:fldCharType="begin"/>
    </w:r>
    <w:r>
      <w:instrText xml:space="preserve"> DATE \@ "yyyy-MM-dd" </w:instrText>
    </w:r>
    <w:r>
      <w:fldChar w:fldCharType="separate"/>
    </w:r>
    <w:r w:rsidR="00A873B5">
      <w:rPr>
        <w:noProof/>
      </w:rPr>
      <w:t>2021-05-26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3069DB" w14:textId="77777777" w:rsidR="00E869CD" w:rsidRDefault="00E869CD">
      <w:r>
        <w:separator/>
      </w:r>
    </w:p>
  </w:footnote>
  <w:footnote w:type="continuationSeparator" w:id="0">
    <w:p w14:paraId="735E1B9C" w14:textId="77777777" w:rsidR="00E869CD" w:rsidRDefault="00E869CD">
      <w:r>
        <w:continuationSeparator/>
      </w:r>
    </w:p>
  </w:footnote>
  <w:footnote w:type="continuationNotice" w:id="1">
    <w:p w14:paraId="0F219106" w14:textId="77777777" w:rsidR="00E869CD" w:rsidRDefault="00E869CD"/>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20EBC446"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FD58EB" w:rsidRPr="00FD58EB">
      <w:rPr>
        <w:rStyle w:val="Strong"/>
        <w:lang w:val="en-GB"/>
      </w:rPr>
      <w:t>RFQ-KCDL-202</w:t>
    </w:r>
    <w:r w:rsidR="00C232EC">
      <w:rPr>
        <w:rStyle w:val="Strong"/>
        <w:lang w:val="en-GB"/>
      </w:rPr>
      <w:t>1</w:t>
    </w:r>
    <w:r w:rsidR="00FD58EB" w:rsidRPr="00FD58EB">
      <w:rPr>
        <w:rStyle w:val="Strong"/>
        <w:lang w:val="en-GB"/>
      </w:rPr>
      <w:t>-</w:t>
    </w:r>
    <w:r w:rsidR="00C232EC">
      <w:rPr>
        <w:rStyle w:val="Strong"/>
        <w:lang w:val="en-GB"/>
      </w:rPr>
      <w:t>002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2DA"/>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873B5"/>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2EC"/>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9CD"/>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58EB"/>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B116F62D-73B5-4016-8061-60EF3B794F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3</cp:revision>
  <cp:lastPrinted>2013-10-18T08:32:00Z</cp:lastPrinted>
  <dcterms:created xsi:type="dcterms:W3CDTF">2021-05-10T06:18:00Z</dcterms:created>
  <dcterms:modified xsi:type="dcterms:W3CDTF">2021-05-26T03:15:00Z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